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hint="eastAsia" w:eastAsiaTheme="minorEastAsia"/>
          <w:b/>
          <w:sz w:val="32"/>
          <w:lang w:val="en-US" w:eastAsia="zh-CN"/>
        </w:rPr>
      </w:pPr>
      <w:r>
        <w:rPr>
          <w:rFonts w:hint="eastAsia"/>
          <w:b/>
          <w:sz w:val="32"/>
        </w:rPr>
        <w:t>附件</w:t>
      </w:r>
      <w:r>
        <w:rPr>
          <w:rFonts w:hint="eastAsia"/>
          <w:b/>
          <w:sz w:val="32"/>
          <w:lang w:val="en-US" w:eastAsia="zh-CN"/>
        </w:rPr>
        <w:t>2</w:t>
      </w:r>
    </w:p>
    <w:p>
      <w:pPr>
        <w:jc w:val="center"/>
        <w:rPr>
          <w:rFonts w:hint="eastAsia" w:eastAsia="仿宋"/>
          <w:b/>
          <w:sz w:val="32"/>
          <w:lang w:val="en-US" w:eastAsia="zh-CN"/>
        </w:rPr>
      </w:pPr>
      <w:r>
        <w:rPr>
          <w:rFonts w:hint="eastAsia" w:eastAsia="仿宋"/>
          <w:b/>
          <w:sz w:val="32"/>
          <w:lang w:val="en-US" w:eastAsia="zh-CN"/>
        </w:rPr>
        <w:t>报价表</w:t>
      </w:r>
    </w:p>
    <w:p>
      <w:pPr>
        <w:jc w:val="center"/>
        <w:rPr>
          <w:rFonts w:hint="eastAsia" w:eastAsia="仿宋"/>
          <w:b/>
          <w:sz w:val="32"/>
          <w:lang w:val="en-US" w:eastAsia="zh-CN"/>
        </w:rPr>
      </w:pPr>
    </w:p>
    <w:p>
      <w:pPr>
        <w:pStyle w:val="4"/>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我公司已认真阅读了蚌埠市中心血站一次性加样针耗材询价采购公告，我方完全理解并接受贵方本次采购内容和要求，在满足采购人商务条款的需求下，参与该项目报价。</w:t>
      </w:r>
    </w:p>
    <w:tbl>
      <w:tblPr>
        <w:tblStyle w:val="7"/>
        <w:tblW w:w="10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30"/>
        <w:gridCol w:w="752"/>
        <w:gridCol w:w="549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4" w:type="dxa"/>
            <w:noWrap w:val="0"/>
            <w:vAlign w:val="center"/>
          </w:tcPr>
          <w:p>
            <w:pPr>
              <w:jc w:val="center"/>
              <w:rPr>
                <w:rFonts w:hint="eastAsia"/>
                <w:b/>
                <w:bCs/>
                <w:szCs w:val="21"/>
              </w:rPr>
            </w:pPr>
            <w:r>
              <w:rPr>
                <w:rFonts w:hint="eastAsia"/>
                <w:b/>
                <w:bCs/>
                <w:szCs w:val="21"/>
              </w:rPr>
              <w:t>序号</w:t>
            </w:r>
          </w:p>
        </w:tc>
        <w:tc>
          <w:tcPr>
            <w:tcW w:w="1530" w:type="dxa"/>
            <w:noWrap w:val="0"/>
            <w:vAlign w:val="center"/>
          </w:tcPr>
          <w:p>
            <w:pPr>
              <w:jc w:val="center"/>
              <w:rPr>
                <w:rFonts w:hint="default" w:eastAsia="宋体"/>
                <w:b/>
                <w:bCs/>
                <w:szCs w:val="21"/>
                <w:lang w:val="en-US" w:eastAsia="zh-CN"/>
              </w:rPr>
            </w:pPr>
            <w:r>
              <w:rPr>
                <w:rFonts w:hint="eastAsia"/>
                <w:b/>
                <w:bCs/>
                <w:szCs w:val="21"/>
                <w:lang w:val="en-US" w:eastAsia="zh-CN"/>
              </w:rPr>
              <w:t>产品名称</w:t>
            </w:r>
          </w:p>
        </w:tc>
        <w:tc>
          <w:tcPr>
            <w:tcW w:w="752" w:type="dxa"/>
            <w:noWrap w:val="0"/>
            <w:vAlign w:val="center"/>
          </w:tcPr>
          <w:p>
            <w:pPr>
              <w:jc w:val="center"/>
              <w:rPr>
                <w:rFonts w:hint="eastAsia" w:eastAsia="宋体"/>
                <w:b/>
                <w:bCs/>
                <w:szCs w:val="21"/>
                <w:lang w:val="en-US" w:eastAsia="zh-CN"/>
              </w:rPr>
            </w:pPr>
            <w:r>
              <w:rPr>
                <w:rFonts w:hint="eastAsia" w:eastAsia="宋体"/>
                <w:b/>
                <w:bCs/>
                <w:szCs w:val="21"/>
                <w:lang w:val="en-US" w:eastAsia="zh-CN"/>
              </w:rPr>
              <w:t>计量单位</w:t>
            </w:r>
          </w:p>
        </w:tc>
        <w:tc>
          <w:tcPr>
            <w:tcW w:w="5490" w:type="dxa"/>
            <w:noWrap w:val="0"/>
            <w:vAlign w:val="center"/>
          </w:tcPr>
          <w:p>
            <w:pPr>
              <w:jc w:val="center"/>
              <w:rPr>
                <w:rFonts w:hint="default" w:eastAsia="宋体"/>
                <w:b/>
                <w:bCs/>
                <w:szCs w:val="21"/>
                <w:lang w:val="en-US" w:eastAsia="zh-CN"/>
              </w:rPr>
            </w:pPr>
            <w:r>
              <w:rPr>
                <w:rFonts w:hint="eastAsia"/>
                <w:b/>
                <w:bCs/>
                <w:szCs w:val="21"/>
                <w:lang w:val="en-US" w:eastAsia="zh-CN"/>
              </w:rPr>
              <w:t>技术参数</w:t>
            </w:r>
          </w:p>
        </w:tc>
        <w:tc>
          <w:tcPr>
            <w:tcW w:w="1856" w:type="dxa"/>
            <w:noWrap w:val="0"/>
            <w:vAlign w:val="center"/>
          </w:tcPr>
          <w:p>
            <w:pPr>
              <w:jc w:val="center"/>
              <w:rPr>
                <w:rFonts w:hint="default" w:eastAsia="宋体"/>
                <w:b/>
                <w:bCs/>
                <w:szCs w:val="21"/>
                <w:lang w:val="en-US" w:eastAsia="zh-CN"/>
              </w:rPr>
            </w:pPr>
            <w:r>
              <w:rPr>
                <w:rFonts w:hint="eastAsia"/>
                <w:b/>
                <w:bCs/>
                <w:szCs w:val="21"/>
                <w:lang w:val="en-US" w:eastAsia="zh-CN"/>
              </w:rPr>
              <w:t>（报价以“个”最小单位报价）。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4" w:type="dxa"/>
            <w:noWrap w:val="0"/>
            <w:vAlign w:val="center"/>
          </w:tcPr>
          <w:p>
            <w:pPr>
              <w:jc w:val="center"/>
              <w:rPr>
                <w:rFonts w:hint="eastAsia" w:eastAsiaTheme="minorEastAsia"/>
                <w:szCs w:val="21"/>
                <w:lang w:val="en-US" w:eastAsia="zh-CN"/>
              </w:rPr>
            </w:pPr>
            <w:r>
              <w:rPr>
                <w:rFonts w:hint="eastAsia"/>
                <w:szCs w:val="21"/>
                <w:lang w:val="en-US" w:eastAsia="zh-CN"/>
              </w:rPr>
              <w:t>1</w:t>
            </w:r>
          </w:p>
        </w:tc>
        <w:tc>
          <w:tcPr>
            <w:tcW w:w="1530" w:type="dxa"/>
            <w:noWrap w:val="0"/>
            <w:vAlign w:val="center"/>
          </w:tcPr>
          <w:p>
            <w:pPr>
              <w:jc w:val="left"/>
              <w:rPr>
                <w:rFonts w:hint="eastAsia" w:ascii="Arial" w:hAnsi="Arial" w:cs="Arial" w:eastAsiaTheme="minorEastAsia"/>
                <w:color w:val="000000"/>
                <w:szCs w:val="21"/>
                <w:lang w:eastAsia="zh-CN"/>
              </w:rPr>
            </w:pPr>
            <w:r>
              <w:rPr>
                <w:rFonts w:hint="eastAsia" w:ascii="Times New Roman" w:hAnsi="Times New Roman" w:eastAsia="宋体" w:cstheme="minorEastAsia"/>
                <w:b w:val="0"/>
                <w:bCs w:val="0"/>
                <w:color w:val="auto"/>
                <w:kern w:val="2"/>
                <w:sz w:val="24"/>
                <w:szCs w:val="28"/>
                <w:lang w:eastAsia="zh-CN"/>
              </w:rPr>
              <w:t>BPA（需氧型）</w:t>
            </w:r>
            <w:r>
              <w:rPr>
                <w:rFonts w:hint="eastAsia" w:ascii="Times New Roman" w:hAnsi="Times New Roman" w:eastAsia="宋体" w:cstheme="minorEastAsia"/>
                <w:b w:val="0"/>
                <w:bCs w:val="0"/>
                <w:color w:val="auto"/>
                <w:kern w:val="2"/>
                <w:sz w:val="24"/>
                <w:szCs w:val="28"/>
                <w:lang w:val="en-US" w:eastAsia="zh-CN"/>
              </w:rPr>
              <w:t>培养瓶</w:t>
            </w:r>
          </w:p>
        </w:tc>
        <w:tc>
          <w:tcPr>
            <w:tcW w:w="752" w:type="dxa"/>
            <w:noWrap w:val="0"/>
            <w:vAlign w:val="center"/>
          </w:tcPr>
          <w:p>
            <w:pPr>
              <w:jc w:val="center"/>
              <w:rPr>
                <w:rFonts w:hint="eastAsia"/>
                <w:szCs w:val="21"/>
                <w:lang w:val="en-US" w:eastAsia="zh-CN"/>
              </w:rPr>
            </w:pPr>
            <w:r>
              <w:rPr>
                <w:rFonts w:hint="eastAsia"/>
                <w:szCs w:val="21"/>
                <w:lang w:eastAsia="zh-CN"/>
              </w:rPr>
              <w:t>个</w:t>
            </w:r>
          </w:p>
        </w:tc>
        <w:tc>
          <w:tcPr>
            <w:tcW w:w="549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1、可用于生物梅里埃BacT/ALERT 3D 60仪器使用。</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2、培养过程为全自动非侵入性的培养系统，用于血液和体液标本中细菌、真菌培养的检测。</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3、培养瓶种类应为含BPA（需氧型）培养瓶。</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4、每个培养瓶内底部都装有一个可供自动微生物监测系统之用的密封的感应器，培养瓶可自动被及时监测载入或取出的位置。</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5、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6、培养瓶在35～37℃孵育，被连续震荡同时能够被连续监测。</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7、培养瓶的使用不受软件升级影响。</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8、可放入BacT/ALERT 3D 60仪器瓶位抽屉任意位置，不需额外软件及输入程序。</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9、瓶上的标签包含了下列相关信息：培养基的类型、培养瓶的编号、培养液容量、有效日期、储存温度、批号和厂商名称。</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10、培养瓶的ID号也是条形码，是每一个瓶唯一的识别代码，可按虚线将标签部分撕下。</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 xml:space="preserve">11、培养瓶的保存期为应不少于12个月。 </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12、每一批培养瓶都附有一致性或质控报告。</w:t>
            </w: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r>
              <w:rPr>
                <w:rFonts w:hint="eastAsia"/>
              </w:rPr>
              <w:t>13、在产品使用过程中若发生质量问题，中标人应无条件更换合格产品，并承担由此引起的招标人损失。</w:t>
            </w:r>
          </w:p>
        </w:tc>
        <w:tc>
          <w:tcPr>
            <w:tcW w:w="1856" w:type="dxa"/>
            <w:noWrap w:val="0"/>
            <w:vAlign w:val="center"/>
          </w:tcPr>
          <w:p>
            <w:p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color w:val="auto"/>
                <w:kern w:val="2"/>
                <w:sz w:val="21"/>
                <w:szCs w:val="21"/>
                <w:lang w:eastAsia="zh-CN"/>
              </w:rPr>
              <w:t>BPA（需氧型）</w:t>
            </w:r>
            <w:r>
              <w:rPr>
                <w:rFonts w:hint="eastAsia" w:ascii="宋体" w:hAnsi="宋体" w:eastAsia="宋体" w:cs="宋体"/>
                <w:b w:val="0"/>
                <w:bCs w:val="0"/>
                <w:color w:val="auto"/>
                <w:kern w:val="2"/>
                <w:sz w:val="21"/>
                <w:szCs w:val="21"/>
                <w:lang w:val="en-US" w:eastAsia="zh-CN"/>
              </w:rPr>
              <w:t>培养瓶</w:t>
            </w:r>
            <w:r>
              <w:rPr>
                <w:rFonts w:hint="eastAsia" w:ascii="宋体" w:hAnsi="宋体" w:eastAsia="宋体" w:cs="宋体"/>
                <w:b w:val="0"/>
                <w:bCs w:val="0"/>
                <w:sz w:val="21"/>
                <w:szCs w:val="21"/>
                <w:lang w:val="en-US" w:eastAsia="zh-CN"/>
              </w:rPr>
              <w:t>的报价不超过50元/个最高限价为有效报价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4" w:type="dxa"/>
            <w:noWrap w:val="0"/>
            <w:vAlign w:val="center"/>
          </w:tcPr>
          <w:p>
            <w:pPr>
              <w:jc w:val="center"/>
              <w:rPr>
                <w:rFonts w:hint="default"/>
                <w:szCs w:val="21"/>
                <w:lang w:val="en-US" w:eastAsia="zh-CN"/>
              </w:rPr>
            </w:pPr>
            <w:r>
              <w:rPr>
                <w:rFonts w:hint="eastAsia"/>
                <w:szCs w:val="21"/>
                <w:lang w:val="en-US" w:eastAsia="zh-CN"/>
              </w:rPr>
              <w:t>2</w:t>
            </w:r>
          </w:p>
        </w:tc>
        <w:tc>
          <w:tcPr>
            <w:tcW w:w="1530" w:type="dxa"/>
            <w:noWrap w:val="0"/>
            <w:vAlign w:val="center"/>
          </w:tcPr>
          <w:p>
            <w:pPr>
              <w:jc w:val="left"/>
              <w:rPr>
                <w:rFonts w:hint="eastAsia"/>
                <w:szCs w:val="21"/>
              </w:rPr>
            </w:pPr>
            <w:r>
              <w:rPr>
                <w:rFonts w:hint="eastAsia" w:ascii="Times New Roman" w:hAnsi="Times New Roman" w:eastAsia="宋体" w:cstheme="minorEastAsia"/>
                <w:b w:val="0"/>
                <w:bCs w:val="0"/>
                <w:color w:val="auto"/>
                <w:kern w:val="2"/>
                <w:sz w:val="24"/>
                <w:szCs w:val="28"/>
                <w:lang w:val="en-US" w:eastAsia="zh-CN"/>
              </w:rPr>
              <w:t>BPN（</w:t>
            </w:r>
            <w:r>
              <w:rPr>
                <w:rFonts w:hint="eastAsia" w:ascii="Times New Roman" w:hAnsi="Times New Roman" w:eastAsia="宋体" w:cstheme="minorEastAsia"/>
                <w:b w:val="0"/>
                <w:bCs w:val="0"/>
                <w:color w:val="auto"/>
                <w:kern w:val="2"/>
                <w:sz w:val="24"/>
                <w:szCs w:val="28"/>
                <w:lang w:eastAsia="zh-CN"/>
              </w:rPr>
              <w:t>厌氧型）培养瓶</w:t>
            </w:r>
          </w:p>
        </w:tc>
        <w:tc>
          <w:tcPr>
            <w:tcW w:w="752" w:type="dxa"/>
            <w:noWrap w:val="0"/>
            <w:vAlign w:val="center"/>
          </w:tcPr>
          <w:p>
            <w:pPr>
              <w:jc w:val="center"/>
              <w:rPr>
                <w:rFonts w:hint="eastAsia"/>
                <w:szCs w:val="21"/>
                <w:lang w:val="en-US" w:eastAsia="zh-CN"/>
              </w:rPr>
            </w:pPr>
            <w:r>
              <w:rPr>
                <w:rFonts w:hint="eastAsia"/>
                <w:szCs w:val="21"/>
                <w:lang w:eastAsia="zh-CN"/>
              </w:rPr>
              <w:t>个</w:t>
            </w:r>
          </w:p>
        </w:tc>
        <w:tc>
          <w:tcPr>
            <w:tcW w:w="5490"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1.可用于生物梅里埃BacT/ALERT 3D 60仪器使用。</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2.培养过程为全自动非侵入性的培养系统，用于血液和体液标本中厌氧菌培养的检测。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3.培养瓶种类应为BPN（厌氧型）培养瓶。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4.每个培养瓶内底部都装有一个可供自动微生物监测系统之用的密封的感应器，培养瓶可自动被及时监测载入或取出的位置。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5.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6.培养瓶在35～37℃孵育，被连续震荡同时能够被连续监测。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7.培养瓶的使用不受软件升级影响。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8.可放入BacT/ALERT 3D 60仪器瓶位抽屉任意位置，不需额外软件及输入程序。</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9.瓶上的标签包含了下列相关信息：培养基的类型、培养瓶的编号、培养液容量、有效日期、储存温度、批号和厂商名称。</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10.培养瓶的ID号也是条形码，是每一个瓶唯一的识别代码，可按虚线将标签部分撕下。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 xml:space="preserve">11.培养瓶的保存期为应不少于12个月。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rPr>
                <w:rFonts w:hint="eastAsia"/>
              </w:rPr>
            </w:pPr>
            <w:r>
              <w:rPr>
                <w:rFonts w:hint="eastAsia"/>
              </w:rPr>
              <w:t>12.每一批培养瓶都附有一致性或质控报告。</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left="0" w:leftChars="0" w:firstLine="0" w:firstLineChars="0"/>
              <w:textAlignment w:val="auto"/>
            </w:pPr>
            <w:r>
              <w:rPr>
                <w:rFonts w:hint="eastAsia"/>
              </w:rPr>
              <w:t>13、在产品使用过程中若发生质量问题，中标人应无条件更换合格产品，并承担由此引起的招标人损失。</w:t>
            </w:r>
          </w:p>
        </w:tc>
        <w:tc>
          <w:tcPr>
            <w:tcW w:w="1856" w:type="dxa"/>
            <w:noWrap w:val="0"/>
            <w:vAlign w:val="center"/>
          </w:tcPr>
          <w:p>
            <w:p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color w:val="auto"/>
                <w:kern w:val="2"/>
                <w:sz w:val="21"/>
                <w:szCs w:val="21"/>
                <w:lang w:val="en-US" w:eastAsia="zh-CN"/>
              </w:rPr>
              <w:t>BPN（厌氧型）培养瓶</w:t>
            </w:r>
            <w:r>
              <w:rPr>
                <w:rFonts w:hint="eastAsia" w:ascii="宋体" w:hAnsi="宋体" w:eastAsia="宋体" w:cs="宋体"/>
                <w:b w:val="0"/>
                <w:bCs w:val="0"/>
                <w:sz w:val="21"/>
                <w:szCs w:val="21"/>
                <w:lang w:val="en-US" w:eastAsia="zh-CN"/>
              </w:rPr>
              <w:t>的报价不超过50元/个最高限价为有效报价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exact"/>
          <w:jc w:val="center"/>
        </w:trPr>
        <w:tc>
          <w:tcPr>
            <w:tcW w:w="10302" w:type="dxa"/>
            <w:gridSpan w:val="5"/>
            <w:noWrap w:val="0"/>
            <w:vAlign w:val="top"/>
          </w:tcPr>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一、合同签订期：自采购结果公告结束之日起7个</w:t>
            </w:r>
            <w:r>
              <w:rPr>
                <w:rFonts w:hint="eastAsia"/>
                <w:lang w:val="en-US" w:eastAsia="zh-CN"/>
              </w:rPr>
              <w:t>工作</w:t>
            </w:r>
            <w:r>
              <w:rPr>
                <w:rFonts w:hint="eastAsia"/>
              </w:rPr>
              <w:t>日内。</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default" w:eastAsia="宋体"/>
                <w:lang w:val="en-US" w:eastAsia="zh-CN"/>
              </w:rPr>
            </w:pPr>
            <w:r>
              <w:rPr>
                <w:rFonts w:hint="eastAsia"/>
              </w:rPr>
              <w:t>二、交货期：自合同签订之日起</w:t>
            </w:r>
            <w:r>
              <w:rPr>
                <w:rFonts w:hint="eastAsia"/>
                <w:lang w:val="en-US" w:eastAsia="zh-CN"/>
              </w:rPr>
              <w:t>25个日历</w:t>
            </w:r>
            <w:r>
              <w:rPr>
                <w:rFonts w:hint="eastAsia"/>
              </w:rPr>
              <w:t>日内</w:t>
            </w:r>
            <w:r>
              <w:rPr>
                <w:rFonts w:hint="eastAsia"/>
                <w:lang w:val="en-US" w:eastAsia="zh-CN"/>
              </w:rPr>
              <w:t>供货完毕</w:t>
            </w:r>
            <w:r>
              <w:rPr>
                <w:rFonts w:hint="eastAsia"/>
              </w:rPr>
              <w:t>。</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三、交货地点：</w:t>
            </w:r>
            <w:r>
              <w:rPr>
                <w:rFonts w:hint="eastAsia"/>
                <w:lang w:eastAsia="zh-CN"/>
              </w:rPr>
              <w:t>采购人</w:t>
            </w:r>
            <w:r>
              <w:rPr>
                <w:rFonts w:hint="eastAsia" w:ascii="宋体" w:hAnsi="宋体"/>
                <w:szCs w:val="21"/>
              </w:rPr>
              <w:t>指定地点</w:t>
            </w:r>
            <w:r>
              <w:rPr>
                <w:rFonts w:hint="eastAsia"/>
              </w:rPr>
              <w:t>。</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 xml:space="preserve">四、售后服务：按国家有关产品“三包”规定执行“三包” </w:t>
            </w:r>
            <w:r>
              <w:rPr>
                <w:rFonts w:hint="eastAsia"/>
                <w:lang w:eastAsia="zh-CN"/>
              </w:rPr>
              <w:t>。</w:t>
            </w:r>
            <w:r>
              <w:rPr>
                <w:rFonts w:hint="eastAsia"/>
              </w:rPr>
              <w:t xml:space="preserve">     </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lang w:val="en-US" w:eastAsia="zh-CN"/>
              </w:rPr>
              <w:t>五</w:t>
            </w:r>
            <w:r>
              <w:rPr>
                <w:rFonts w:hint="eastAsia"/>
              </w:rPr>
              <w:t>、其他要求：</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1、投标报价为采购人指定地点的现场交货价，包括：</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（1）货物的价格；</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w:t>
            </w:r>
            <w:r>
              <w:rPr>
                <w:rFonts w:hint="eastAsia"/>
                <w:lang w:val="en-US" w:eastAsia="zh-CN"/>
              </w:rPr>
              <w:t>2</w:t>
            </w:r>
            <w:r>
              <w:rPr>
                <w:rFonts w:hint="eastAsia"/>
              </w:rPr>
              <w:t>）运输、售后服务等费用；</w:t>
            </w:r>
          </w:p>
          <w:p>
            <w:pPr>
              <w:pStyle w:val="3"/>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rPr>
            </w:pPr>
            <w:r>
              <w:rPr>
                <w:rFonts w:hint="eastAsia"/>
              </w:rPr>
              <w:t>（</w:t>
            </w:r>
            <w:r>
              <w:rPr>
                <w:rFonts w:hint="eastAsia"/>
                <w:lang w:val="en-US" w:eastAsia="zh-CN"/>
              </w:rPr>
              <w:t>3</w:t>
            </w:r>
            <w:r>
              <w:rPr>
                <w:rFonts w:hint="eastAsia"/>
              </w:rPr>
              <w:t>）必要的保险费用和各项税费；</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Cs w:val="21"/>
              </w:rPr>
            </w:pPr>
            <w:r>
              <w:rPr>
                <w:rFonts w:hint="eastAsia"/>
              </w:rPr>
              <w:t>2、付款方式：</w:t>
            </w:r>
            <w:r>
              <w:rPr>
                <w:rFonts w:hint="eastAsia"/>
                <w:lang w:eastAsia="zh-CN"/>
              </w:rPr>
              <w:t>分批采购、按采购批次付款。在</w:t>
            </w:r>
            <w:r>
              <w:rPr>
                <w:rFonts w:hint="eastAsia"/>
              </w:rPr>
              <w:t>供应商交货完毕并验收合格后，</w:t>
            </w:r>
            <w:r>
              <w:rPr>
                <w:rFonts w:hint="eastAsia"/>
                <w:lang w:eastAsia="zh-CN"/>
              </w:rPr>
              <w:t>采购方按采购批次付款</w:t>
            </w:r>
            <w:r>
              <w:rPr>
                <w:rFonts w:hint="eastAsia"/>
              </w:rPr>
              <w:t>（付款前成交供应商需开具等额合规的增值税普通发票）。</w:t>
            </w:r>
            <w:bookmarkStart w:id="0" w:name="_GoBack"/>
            <w:bookmarkEnd w:id="0"/>
          </w:p>
        </w:tc>
      </w:tr>
    </w:tbl>
    <w:p>
      <w:pPr>
        <w:pStyle w:val="4"/>
        <w:spacing w:line="600" w:lineRule="exact"/>
        <w:ind w:left="-619" w:leftChars="-295" w:firstLine="0" w:firstLineChars="0"/>
        <w:rPr>
          <w:rFonts w:hint="eastAsia" w:asciiTheme="minorEastAsia" w:hAnsiTheme="minorEastAsia" w:cstheme="minorEastAsia"/>
          <w:szCs w:val="21"/>
          <w:lang w:val="en-US" w:eastAsia="zh-CN"/>
        </w:rPr>
      </w:pPr>
    </w:p>
    <w:p>
      <w:pPr>
        <w:pStyle w:val="4"/>
        <w:spacing w:line="600" w:lineRule="exact"/>
        <w:rPr>
          <w:rFonts w:asciiTheme="minorEastAsia" w:hAnsiTheme="minorEastAsia" w:eastAsiaTheme="minorEastAsia" w:cstheme="minorEastAsia"/>
          <w:szCs w:val="21"/>
          <w:u w:val="single"/>
        </w:rPr>
      </w:pPr>
      <w:r>
        <w:rPr>
          <w:rFonts w:hint="eastAsia" w:asciiTheme="minorEastAsia" w:hAnsiTheme="minorEastAsia" w:cstheme="minorEastAsia"/>
          <w:szCs w:val="21"/>
          <w:lang w:val="en-US" w:eastAsia="zh-CN"/>
        </w:rPr>
        <w:t>配送</w:t>
      </w:r>
      <w:r>
        <w:rPr>
          <w:rFonts w:hint="eastAsia" w:asciiTheme="minorEastAsia" w:hAnsiTheme="minorEastAsia" w:cstheme="minorEastAsia"/>
          <w:szCs w:val="21"/>
          <w:lang w:eastAsia="zh-CN"/>
        </w:rPr>
        <w:t>人</w:t>
      </w:r>
      <w:r>
        <w:rPr>
          <w:rFonts w:hint="eastAsia" w:asciiTheme="minorEastAsia" w:hAnsiTheme="minorEastAsia" w:eastAsiaTheme="minorEastAsia" w:cstheme="minorEastAsia"/>
          <w:szCs w:val="21"/>
        </w:rPr>
        <w:t>（盖单位公章）：</w:t>
      </w:r>
      <w:r>
        <w:rPr>
          <w:rFonts w:hint="eastAsia" w:asciiTheme="minorEastAsia" w:hAnsiTheme="minorEastAsia" w:eastAsiaTheme="minorEastAsia" w:cstheme="minorEastAsia"/>
          <w:szCs w:val="21"/>
          <w:u w:val="single"/>
        </w:rPr>
        <w:t xml:space="preserve">                                    </w:t>
      </w:r>
    </w:p>
    <w:p>
      <w:pPr>
        <w:pStyle w:val="4"/>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法定代表人或其委托代理人（签字或盖章）：</w:t>
      </w:r>
      <w:r>
        <w:rPr>
          <w:rFonts w:hint="eastAsia" w:asciiTheme="minorEastAsia" w:hAnsiTheme="minorEastAsia" w:eastAsiaTheme="minorEastAsia" w:cstheme="minorEastAsia"/>
          <w:szCs w:val="21"/>
          <w:u w:val="single"/>
        </w:rPr>
        <w:t xml:space="preserve">                  </w:t>
      </w:r>
    </w:p>
    <w:p>
      <w:pPr>
        <w:pStyle w:val="4"/>
        <w:spacing w:line="440" w:lineRule="exact"/>
        <w:ind w:firstLine="468"/>
        <w:rPr>
          <w:rFonts w:asciiTheme="minorEastAsia" w:hAnsiTheme="minorEastAsia" w:eastAsiaTheme="minorEastAsia" w:cstheme="minorEastAsia"/>
          <w:szCs w:val="21"/>
        </w:rPr>
      </w:pPr>
    </w:p>
    <w:p>
      <w:pPr>
        <w:pStyle w:val="4"/>
        <w:spacing w:line="440" w:lineRule="exact"/>
      </w:pPr>
      <w:r>
        <w:rPr>
          <w:rFonts w:hint="eastAsia" w:asciiTheme="minorEastAsia" w:hAnsiTheme="minorEastAsia" w:eastAsiaTheme="minorEastAsia" w:cstheme="minorEastAsia"/>
          <w:szCs w:val="21"/>
        </w:rPr>
        <w:t>注：表格内容均需按要求填写并盖章，不得留空，否则按</w:t>
      </w:r>
      <w:r>
        <w:rPr>
          <w:rFonts w:hint="eastAsia" w:asciiTheme="minorEastAsia" w:hAnsiTheme="minorEastAsia" w:cstheme="minorEastAsia"/>
          <w:szCs w:val="21"/>
          <w:lang w:eastAsia="zh-CN"/>
        </w:rPr>
        <w:t>响应</w:t>
      </w:r>
      <w:r>
        <w:rPr>
          <w:rFonts w:hint="eastAsia" w:asciiTheme="minorEastAsia" w:hAnsiTheme="minorEastAsia" w:eastAsiaTheme="minorEastAsia" w:cstheme="minorEastAsia"/>
          <w:szCs w:val="21"/>
        </w:rPr>
        <w:t>无效处理。</w:t>
      </w:r>
    </w:p>
    <w:sectPr>
      <w:footerReference r:id="rId3" w:type="default"/>
      <w:pgSz w:w="11906" w:h="16838"/>
      <w:pgMar w:top="1270" w:right="1576" w:bottom="1213" w:left="163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2"/>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M3YmY5MDM0ZDg4NDQ3NGM3OTA5YzA0MjE1NjYifQ=="/>
  </w:docVars>
  <w:rsids>
    <w:rsidRoot w:val="69595A0C"/>
    <w:rsid w:val="042B7464"/>
    <w:rsid w:val="0B117611"/>
    <w:rsid w:val="0B404839"/>
    <w:rsid w:val="0B7078E0"/>
    <w:rsid w:val="0C6C1BE9"/>
    <w:rsid w:val="0ECA2CAD"/>
    <w:rsid w:val="113D7418"/>
    <w:rsid w:val="13BC3779"/>
    <w:rsid w:val="14A32AD4"/>
    <w:rsid w:val="1C470016"/>
    <w:rsid w:val="20441043"/>
    <w:rsid w:val="22CB75A6"/>
    <w:rsid w:val="23277B0A"/>
    <w:rsid w:val="23D56E45"/>
    <w:rsid w:val="27FC7252"/>
    <w:rsid w:val="28797C86"/>
    <w:rsid w:val="29E652EC"/>
    <w:rsid w:val="2A9328B0"/>
    <w:rsid w:val="2B6F32B8"/>
    <w:rsid w:val="2D3D22E5"/>
    <w:rsid w:val="2F4C73E5"/>
    <w:rsid w:val="30121C45"/>
    <w:rsid w:val="3065704C"/>
    <w:rsid w:val="30BC757A"/>
    <w:rsid w:val="33A918A3"/>
    <w:rsid w:val="34673398"/>
    <w:rsid w:val="3AF6645D"/>
    <w:rsid w:val="3F2738F2"/>
    <w:rsid w:val="43A55320"/>
    <w:rsid w:val="46426F1A"/>
    <w:rsid w:val="477F09C9"/>
    <w:rsid w:val="47B42327"/>
    <w:rsid w:val="47BD7D63"/>
    <w:rsid w:val="4F754A92"/>
    <w:rsid w:val="4F9F1B0F"/>
    <w:rsid w:val="517D43D5"/>
    <w:rsid w:val="51B9203A"/>
    <w:rsid w:val="550F1042"/>
    <w:rsid w:val="56BE3354"/>
    <w:rsid w:val="57B51F88"/>
    <w:rsid w:val="59CC73F8"/>
    <w:rsid w:val="5D5201C0"/>
    <w:rsid w:val="5E510478"/>
    <w:rsid w:val="5E683AA8"/>
    <w:rsid w:val="5F8B7E51"/>
    <w:rsid w:val="609E68E4"/>
    <w:rsid w:val="62271A53"/>
    <w:rsid w:val="62A505F6"/>
    <w:rsid w:val="62F53AC8"/>
    <w:rsid w:val="652C7B0C"/>
    <w:rsid w:val="6536026C"/>
    <w:rsid w:val="66152BBB"/>
    <w:rsid w:val="69595A0C"/>
    <w:rsid w:val="6AA21562"/>
    <w:rsid w:val="6C7D260F"/>
    <w:rsid w:val="6EEB2FFA"/>
    <w:rsid w:val="6F0E432E"/>
    <w:rsid w:val="7084648B"/>
    <w:rsid w:val="718B1915"/>
    <w:rsid w:val="72434C9E"/>
    <w:rsid w:val="737E46E8"/>
    <w:rsid w:val="747652DC"/>
    <w:rsid w:val="76065B94"/>
    <w:rsid w:val="7D346DCB"/>
    <w:rsid w:val="7F41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0"/>
    <w:pPr>
      <w:spacing w:after="120"/>
    </w:pPr>
    <w:rPr>
      <w:rFonts w:ascii="Times New Roman" w:hAnsi="Times New Roman"/>
    </w:rPr>
  </w:style>
  <w:style w:type="paragraph" w:styleId="4">
    <w:name w:val="Plain Text"/>
    <w:basedOn w:val="1"/>
    <w:next w:val="2"/>
    <w:autoRedefine/>
    <w:qFormat/>
    <w:uiPriority w:val="0"/>
    <w:rPr>
      <w:rFonts w:ascii="宋体" w:hAnsi="Courier New"/>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style23"/>
    <w:basedOn w:val="9"/>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580</Words>
  <Characters>627</Characters>
  <Lines>0</Lines>
  <Paragraphs>0</Paragraphs>
  <TotalTime>0</TotalTime>
  <ScaleCrop>false</ScaleCrop>
  <LinksUpToDate>false</LinksUpToDate>
  <CharactersWithSpaces>689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2021-03-24T02:45:00Z</dcterms:created>
  <dc:creator>WPS</dc:creator>
  <cp:lastModifiedBy>韩婧</cp:lastModifiedBy>
  <cp:lastPrinted>2024-02-29T06:35:00Z</cp:lastPrinted>
  <dcterms:modified xsi:type="dcterms:W3CDTF">2024-04-23T07:56:42Z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8E348D4D5BBE4BB3A32972952A0650BB_13</vt:lpwstr>
  </property>
</Properties>
</file>